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B251" w14:textId="77777777" w:rsidR="005923BF" w:rsidRDefault="00992ED3" w:rsidP="005923BF">
      <w:pPr>
        <w:tabs>
          <w:tab w:val="left" w:pos="750"/>
          <w:tab w:val="left" w:pos="1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2E500" wp14:editId="757959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8625" cy="11384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DOC bran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138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BF">
        <w:tab/>
      </w:r>
    </w:p>
    <w:p w14:paraId="3746701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6BABF74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A19E34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61DBF8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9B912F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B60A49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F97A5F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9C8CA83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B7B850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8A51A5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8E6471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4ABC26F9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C5B640B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E455166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076A3D5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DB81D2D" w14:textId="77777777" w:rsidR="005923BF" w:rsidRPr="005923BF" w:rsidRDefault="005923BF" w:rsidP="006C0860">
      <w:pPr>
        <w:tabs>
          <w:tab w:val="left" w:pos="750"/>
          <w:tab w:val="left" w:pos="1320"/>
        </w:tabs>
        <w:jc w:val="center"/>
        <w:rPr>
          <w:b/>
          <w:sz w:val="24"/>
        </w:rPr>
      </w:pPr>
    </w:p>
    <w:p w14:paraId="5D1F1E1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5D6B27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5C14C3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CD66A1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A96923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2603DD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393426F" w14:textId="1E2097A0" w:rsidR="005923BF" w:rsidRPr="005923BF" w:rsidRDefault="006C0860" w:rsidP="006C0860">
      <w:pPr>
        <w:tabs>
          <w:tab w:val="left" w:pos="5025"/>
        </w:tabs>
        <w:rPr>
          <w:b/>
          <w:sz w:val="24"/>
        </w:rPr>
      </w:pPr>
      <w:r>
        <w:rPr>
          <w:b/>
          <w:sz w:val="24"/>
        </w:rPr>
        <w:tab/>
      </w:r>
    </w:p>
    <w:p w14:paraId="26765E5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87882DD" w14:textId="29557A1C" w:rsidR="005923BF" w:rsidRPr="005923BF" w:rsidRDefault="006C0860" w:rsidP="006C0860">
      <w:pPr>
        <w:tabs>
          <w:tab w:val="left" w:pos="5100"/>
          <w:tab w:val="left" w:pos="663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8F0958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631BFE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F2046F9" w14:textId="77777777" w:rsid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F7003F7" w14:textId="239BA86A" w:rsidR="006C4DB4" w:rsidRDefault="007B1575" w:rsidP="00145CFB">
      <w:pPr>
        <w:tabs>
          <w:tab w:val="left" w:pos="750"/>
          <w:tab w:val="left" w:pos="1320"/>
        </w:tabs>
        <w:rPr>
          <w:rFonts w:ascii="DaxOT-Light" w:hAnsi="DaxOT-Light"/>
          <w:b/>
          <w:sz w:val="36"/>
        </w:rPr>
      </w:pPr>
      <w:r w:rsidRPr="007B1575">
        <w:rPr>
          <w:rFonts w:ascii="DaxOT-Light" w:hAnsi="DaxOT-Light"/>
          <w:b/>
          <w:sz w:val="36"/>
        </w:rPr>
        <w:lastRenderedPageBreak/>
        <w:t xml:space="preserve">Sole trader, partnership and Limited Company – </w:t>
      </w:r>
      <w:r w:rsidR="009059AC">
        <w:rPr>
          <w:rFonts w:ascii="DaxOT-Light" w:hAnsi="DaxOT-Light"/>
          <w:b/>
          <w:sz w:val="36"/>
        </w:rPr>
        <w:br/>
      </w:r>
      <w:r w:rsidRPr="007B1575">
        <w:rPr>
          <w:rFonts w:ascii="DaxOT-Light" w:hAnsi="DaxOT-Light"/>
          <w:b/>
          <w:sz w:val="36"/>
        </w:rPr>
        <w:t>The Benefits and Drawbacks</w:t>
      </w:r>
    </w:p>
    <w:p w14:paraId="6FD04883" w14:textId="685584B2" w:rsidR="00A20BAA" w:rsidRPr="00A20BAA" w:rsidRDefault="00A20BAA" w:rsidP="00145CFB">
      <w:pPr>
        <w:tabs>
          <w:tab w:val="left" w:pos="750"/>
          <w:tab w:val="left" w:pos="1320"/>
        </w:tabs>
        <w:rPr>
          <w:rFonts w:ascii="DaxOT-Light" w:hAnsi="DaxOT-Light"/>
          <w:sz w:val="28"/>
          <w:szCs w:val="28"/>
        </w:rPr>
      </w:pPr>
      <w:r w:rsidRPr="00A20BAA">
        <w:rPr>
          <w:rFonts w:ascii="DaxOT-Light" w:hAnsi="DaxOT-Light"/>
          <w:sz w:val="28"/>
          <w:szCs w:val="28"/>
        </w:rPr>
        <w:t xml:space="preserve">Every business must have a legal structure. We’ve set out a few of the benefits and drawbacks of some of the most common legal structures to help you consider which might be most appropriate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B1575" w14:paraId="4EECCB8B" w14:textId="77777777" w:rsidTr="007B1575">
        <w:tc>
          <w:tcPr>
            <w:tcW w:w="3005" w:type="dxa"/>
            <w:shd w:val="clear" w:color="auto" w:fill="005F86"/>
          </w:tcPr>
          <w:p w14:paraId="5AD40AF2" w14:textId="3CD570C1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32"/>
              </w:rPr>
            </w:pPr>
            <w:r w:rsidRPr="007B1575">
              <w:rPr>
                <w:rFonts w:ascii="DaxOT-Light" w:hAnsi="DaxOT-Light"/>
                <w:b/>
                <w:color w:val="FFFFFF" w:themeColor="background1"/>
                <w:sz w:val="32"/>
              </w:rPr>
              <w:t>Legal structure</w:t>
            </w:r>
          </w:p>
        </w:tc>
        <w:tc>
          <w:tcPr>
            <w:tcW w:w="3005" w:type="dxa"/>
            <w:shd w:val="clear" w:color="auto" w:fill="005F86"/>
          </w:tcPr>
          <w:p w14:paraId="13B4D38A" w14:textId="448DAD0C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32"/>
              </w:rPr>
            </w:pPr>
            <w:r w:rsidRPr="007B1575">
              <w:rPr>
                <w:rFonts w:ascii="DaxOT-Light" w:hAnsi="DaxOT-Light"/>
                <w:b/>
                <w:color w:val="FFFFFF" w:themeColor="background1"/>
                <w:sz w:val="32"/>
              </w:rPr>
              <w:t>Benefits</w:t>
            </w:r>
          </w:p>
        </w:tc>
        <w:tc>
          <w:tcPr>
            <w:tcW w:w="3006" w:type="dxa"/>
            <w:shd w:val="clear" w:color="auto" w:fill="005F86"/>
          </w:tcPr>
          <w:p w14:paraId="1B23FEA5" w14:textId="26A2A53B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32"/>
              </w:rPr>
            </w:pPr>
            <w:r w:rsidRPr="007B1575">
              <w:rPr>
                <w:rFonts w:ascii="DaxOT-Light" w:hAnsi="DaxOT-Light"/>
                <w:b/>
                <w:color w:val="FFFFFF" w:themeColor="background1"/>
                <w:sz w:val="32"/>
              </w:rPr>
              <w:t>Drawbacks</w:t>
            </w:r>
          </w:p>
        </w:tc>
      </w:tr>
      <w:tr w:rsidR="007B1575" w14:paraId="4CF49ABD" w14:textId="77777777" w:rsidTr="007B1575">
        <w:tc>
          <w:tcPr>
            <w:tcW w:w="3005" w:type="dxa"/>
            <w:shd w:val="clear" w:color="auto" w:fill="005F86"/>
          </w:tcPr>
          <w:p w14:paraId="6D4977E6" w14:textId="32D34D90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32"/>
              </w:rPr>
            </w:pPr>
            <w:r w:rsidRPr="007B1575">
              <w:rPr>
                <w:rFonts w:ascii="DaxOT-Light" w:hAnsi="DaxOT-Light"/>
                <w:b/>
                <w:color w:val="FFFFFF" w:themeColor="background1"/>
                <w:sz w:val="32"/>
              </w:rPr>
              <w:t>Sole trader</w:t>
            </w:r>
          </w:p>
        </w:tc>
        <w:tc>
          <w:tcPr>
            <w:tcW w:w="3005" w:type="dxa"/>
          </w:tcPr>
          <w:p w14:paraId="6C86A1B2" w14:textId="3D979C73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>Complete control Simple to set up and account for</w:t>
            </w:r>
          </w:p>
          <w:p w14:paraId="1527019B" w14:textId="16D0A554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 xml:space="preserve">Greater </w:t>
            </w:r>
            <w:r w:rsidR="00A20BAA">
              <w:rPr>
                <w:rFonts w:ascii="DaxOT-Light" w:hAnsi="DaxOT-Light"/>
                <w:sz w:val="32"/>
              </w:rPr>
              <w:t>p</w:t>
            </w:r>
            <w:r w:rsidRPr="007B1575">
              <w:rPr>
                <w:rFonts w:ascii="DaxOT-Light" w:hAnsi="DaxOT-Light"/>
                <w:sz w:val="32"/>
              </w:rPr>
              <w:t>rivacy</w:t>
            </w:r>
          </w:p>
          <w:p w14:paraId="36899BAE" w14:textId="1475574D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>You take all rewards</w:t>
            </w:r>
          </w:p>
        </w:tc>
        <w:tc>
          <w:tcPr>
            <w:tcW w:w="3006" w:type="dxa"/>
          </w:tcPr>
          <w:p w14:paraId="2708BD6F" w14:textId="77777777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 xml:space="preserve">Perceptions of unincorporated businesses </w:t>
            </w:r>
          </w:p>
          <w:p w14:paraId="6DB9BA6A" w14:textId="77777777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 xml:space="preserve">Credit rating/raising finance </w:t>
            </w:r>
          </w:p>
          <w:p w14:paraId="5826360E" w14:textId="11194DF0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>Personal tax position</w:t>
            </w:r>
          </w:p>
        </w:tc>
      </w:tr>
      <w:tr w:rsidR="007B1575" w14:paraId="0ABC3087" w14:textId="77777777" w:rsidTr="007B1575">
        <w:tc>
          <w:tcPr>
            <w:tcW w:w="3005" w:type="dxa"/>
            <w:shd w:val="clear" w:color="auto" w:fill="005F86"/>
          </w:tcPr>
          <w:p w14:paraId="5EE134D4" w14:textId="3FB2384F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32"/>
              </w:rPr>
            </w:pPr>
            <w:r w:rsidRPr="007B1575">
              <w:rPr>
                <w:rFonts w:ascii="DaxOT-Light" w:hAnsi="DaxOT-Light"/>
                <w:b/>
                <w:color w:val="FFFFFF" w:themeColor="background1"/>
                <w:sz w:val="32"/>
              </w:rPr>
              <w:t>Partnership(s)</w:t>
            </w:r>
          </w:p>
        </w:tc>
        <w:tc>
          <w:tcPr>
            <w:tcW w:w="3005" w:type="dxa"/>
          </w:tcPr>
          <w:p w14:paraId="4900FFBE" w14:textId="77777777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 xml:space="preserve">Greater level of expertise </w:t>
            </w:r>
          </w:p>
          <w:p w14:paraId="6CA9B6F6" w14:textId="445662E0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>Shared risks</w:t>
            </w:r>
            <w:r w:rsidR="00A20BAA">
              <w:rPr>
                <w:rFonts w:ascii="DaxOT-Light" w:hAnsi="DaxOT-Light"/>
                <w:sz w:val="32"/>
              </w:rPr>
              <w:t>,</w:t>
            </w:r>
            <w:r w:rsidRPr="007B1575">
              <w:rPr>
                <w:rFonts w:ascii="DaxOT-Light" w:hAnsi="DaxOT-Light"/>
                <w:sz w:val="32"/>
              </w:rPr>
              <w:t xml:space="preserve"> responsibilities and workload</w:t>
            </w:r>
          </w:p>
          <w:p w14:paraId="00B47FA3" w14:textId="59116FE4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 xml:space="preserve">Simple to set up Greater </w:t>
            </w:r>
            <w:r w:rsidR="00A20BAA">
              <w:rPr>
                <w:rFonts w:ascii="DaxOT-Light" w:hAnsi="DaxOT-Light"/>
                <w:sz w:val="32"/>
              </w:rPr>
              <w:t>p</w:t>
            </w:r>
            <w:r w:rsidRPr="007B1575">
              <w:rPr>
                <w:rFonts w:ascii="DaxOT-Light" w:hAnsi="DaxOT-Light"/>
                <w:sz w:val="32"/>
              </w:rPr>
              <w:t>riva</w:t>
            </w:r>
            <w:r w:rsidR="00A13C82">
              <w:rPr>
                <w:rFonts w:ascii="DaxOT-Light" w:hAnsi="DaxOT-Light"/>
                <w:sz w:val="32"/>
              </w:rPr>
              <w:t>c</w:t>
            </w:r>
            <w:r w:rsidR="008B16A5">
              <w:rPr>
                <w:rFonts w:ascii="DaxOT-Light" w:hAnsi="DaxOT-Light"/>
                <w:sz w:val="32"/>
              </w:rPr>
              <w:t>y</w:t>
            </w:r>
          </w:p>
        </w:tc>
        <w:tc>
          <w:tcPr>
            <w:tcW w:w="3006" w:type="dxa"/>
          </w:tcPr>
          <w:p w14:paraId="4706CC08" w14:textId="77777777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 xml:space="preserve">Disputes of power Share of rewards Personal liability of all partners Perceptions of unincorporated businesses </w:t>
            </w:r>
          </w:p>
          <w:p w14:paraId="04AA1A48" w14:textId="77777777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>Credit rating/raising finance</w:t>
            </w:r>
          </w:p>
          <w:p w14:paraId="279142CB" w14:textId="4E64EE5D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>Personal tax position</w:t>
            </w:r>
          </w:p>
        </w:tc>
      </w:tr>
      <w:tr w:rsidR="007B1575" w14:paraId="7554000C" w14:textId="77777777" w:rsidTr="007B1575">
        <w:tc>
          <w:tcPr>
            <w:tcW w:w="3005" w:type="dxa"/>
            <w:shd w:val="clear" w:color="auto" w:fill="005F86"/>
          </w:tcPr>
          <w:p w14:paraId="709E74A8" w14:textId="1D65877D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32"/>
              </w:rPr>
            </w:pPr>
            <w:r w:rsidRPr="007B1575">
              <w:rPr>
                <w:rFonts w:ascii="DaxOT-Light" w:hAnsi="DaxOT-Light"/>
                <w:b/>
                <w:color w:val="FFFFFF" w:themeColor="background1"/>
                <w:sz w:val="32"/>
              </w:rPr>
              <w:t>Limited company</w:t>
            </w:r>
          </w:p>
        </w:tc>
        <w:tc>
          <w:tcPr>
            <w:tcW w:w="3005" w:type="dxa"/>
          </w:tcPr>
          <w:p w14:paraId="4DF0A574" w14:textId="4EB85314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 xml:space="preserve">Limited </w:t>
            </w:r>
            <w:r w:rsidR="00A20BAA">
              <w:rPr>
                <w:rFonts w:ascii="DaxOT-Light" w:hAnsi="DaxOT-Light"/>
                <w:sz w:val="32"/>
              </w:rPr>
              <w:t>p</w:t>
            </w:r>
            <w:r w:rsidRPr="007B1575">
              <w:rPr>
                <w:rFonts w:ascii="DaxOT-Light" w:hAnsi="DaxOT-Light"/>
                <w:sz w:val="32"/>
              </w:rPr>
              <w:t>ersonal liability</w:t>
            </w:r>
          </w:p>
          <w:p w14:paraId="7A7F39C5" w14:textId="77777777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>Prestigious, trusted status, professional appearance, positive image</w:t>
            </w:r>
          </w:p>
          <w:p w14:paraId="09EE4FC7" w14:textId="01595669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 xml:space="preserve">Easier to sell </w:t>
            </w:r>
            <w:r w:rsidR="00A20BAA">
              <w:rPr>
                <w:rFonts w:ascii="DaxOT-Light" w:hAnsi="DaxOT-Light"/>
                <w:sz w:val="32"/>
              </w:rPr>
              <w:t xml:space="preserve">the </w:t>
            </w:r>
            <w:r w:rsidRPr="007B1575">
              <w:rPr>
                <w:rFonts w:ascii="DaxOT-Light" w:hAnsi="DaxOT-Light"/>
                <w:sz w:val="32"/>
              </w:rPr>
              <w:t>business - often seen as higher in value Can be easier to raise finance</w:t>
            </w:r>
          </w:p>
        </w:tc>
        <w:tc>
          <w:tcPr>
            <w:tcW w:w="3006" w:type="dxa"/>
          </w:tcPr>
          <w:p w14:paraId="0806ED96" w14:textId="77777777" w:rsidR="00A20BAA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>Statutory requirements Information in the public domain</w:t>
            </w:r>
          </w:p>
          <w:p w14:paraId="16772F08" w14:textId="1FE15A99" w:rsidR="007B1575" w:rsidRPr="007B1575" w:rsidRDefault="007B1575" w:rsidP="00145CFB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32"/>
              </w:rPr>
            </w:pPr>
            <w:r w:rsidRPr="007B1575">
              <w:rPr>
                <w:rFonts w:ascii="DaxOT-Light" w:hAnsi="DaxOT-Light"/>
                <w:sz w:val="32"/>
              </w:rPr>
              <w:t>Likely to be more complex business (regulatory requirements), which will make the business more expensive and to run</w:t>
            </w:r>
          </w:p>
        </w:tc>
      </w:tr>
    </w:tbl>
    <w:p w14:paraId="45BFD24C" w14:textId="77777777" w:rsidR="007B1575" w:rsidRPr="003D1FCE" w:rsidRDefault="007B1575" w:rsidP="009059AC">
      <w:pPr>
        <w:tabs>
          <w:tab w:val="left" w:pos="750"/>
          <w:tab w:val="left" w:pos="1320"/>
        </w:tabs>
        <w:rPr>
          <w:rFonts w:ascii="DaxOT-Light" w:hAnsi="DaxOT-Light"/>
          <w:b/>
          <w:sz w:val="24"/>
        </w:rPr>
      </w:pPr>
      <w:bookmarkStart w:id="0" w:name="_GoBack"/>
      <w:bookmarkEnd w:id="0"/>
    </w:p>
    <w:sectPr w:rsidR="007B1575" w:rsidRPr="003D1F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1EABB" w14:textId="77777777" w:rsidR="008A6B16" w:rsidRDefault="008A6B16" w:rsidP="005923BF">
      <w:pPr>
        <w:spacing w:after="0" w:line="240" w:lineRule="auto"/>
      </w:pPr>
      <w:r>
        <w:separator/>
      </w:r>
    </w:p>
  </w:endnote>
  <w:endnote w:type="continuationSeparator" w:id="0">
    <w:p w14:paraId="427225F7" w14:textId="77777777" w:rsidR="008A6B16" w:rsidRDefault="008A6B16" w:rsidP="005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altName w:val="Calibri"/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altName w:val="Calibri"/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1CFF" w14:textId="5BCDA042" w:rsidR="005923BF" w:rsidRDefault="00145CFB">
    <w:pPr>
      <w:pStyle w:val="Footer"/>
      <w:rPr>
        <w:rFonts w:ascii="DaxOT-Medium" w:hAnsi="DaxOT-Medium"/>
        <w:noProof/>
        <w:color w:val="005F86"/>
      </w:rPr>
    </w:pPr>
    <w:r>
      <w:rPr>
        <w:rFonts w:ascii="DaxOT-Medium" w:hAnsi="DaxOT-Medium"/>
        <w:noProof/>
        <w:color w:val="005F86"/>
      </w:rPr>
      <w:drawing>
        <wp:anchor distT="0" distB="0" distL="114300" distR="114300" simplePos="0" relativeHeight="251658240" behindDoc="1" locked="0" layoutInCell="1" allowOverlap="1" wp14:anchorId="5B634FA9" wp14:editId="50BA5E82">
          <wp:simplePos x="0" y="0"/>
          <wp:positionH relativeFrom="margin">
            <wp:posOffset>5419725</wp:posOffset>
          </wp:positionH>
          <wp:positionV relativeFrom="paragraph">
            <wp:posOffset>-425146</wp:posOffset>
          </wp:positionV>
          <wp:extent cx="800100" cy="7653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nta (Web)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C8D9" w14:textId="14B50E5E" w:rsidR="005923BF" w:rsidRPr="005923BF" w:rsidRDefault="005923BF">
    <w:pPr>
      <w:pStyle w:val="Footer"/>
      <w:rPr>
        <w:rFonts w:ascii="DaxOT-Medium" w:hAnsi="DaxOT-Medium"/>
        <w:color w:val="005F86"/>
      </w:rPr>
    </w:pPr>
    <w:r w:rsidRPr="005923BF">
      <w:rPr>
        <w:rFonts w:ascii="DaxOT-Medium" w:hAnsi="DaxOT-Medium"/>
        <w:color w:val="005F86"/>
      </w:rPr>
      <w:t>www.wenta.co.uk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34A79" w14:textId="77777777" w:rsidR="008A6B16" w:rsidRDefault="008A6B16" w:rsidP="005923BF">
      <w:pPr>
        <w:spacing w:after="0" w:line="240" w:lineRule="auto"/>
      </w:pPr>
      <w:r>
        <w:separator/>
      </w:r>
    </w:p>
  </w:footnote>
  <w:footnote w:type="continuationSeparator" w:id="0">
    <w:p w14:paraId="3C41CE14" w14:textId="77777777" w:rsidR="008A6B16" w:rsidRDefault="008A6B16" w:rsidP="0059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36C"/>
    <w:multiLevelType w:val="hybridMultilevel"/>
    <w:tmpl w:val="A402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3"/>
    <w:rsid w:val="00145CFB"/>
    <w:rsid w:val="00156996"/>
    <w:rsid w:val="003D1FCE"/>
    <w:rsid w:val="004130DA"/>
    <w:rsid w:val="00462B9F"/>
    <w:rsid w:val="00496B58"/>
    <w:rsid w:val="005923BF"/>
    <w:rsid w:val="006C0860"/>
    <w:rsid w:val="006C4DB4"/>
    <w:rsid w:val="007B1575"/>
    <w:rsid w:val="0085354A"/>
    <w:rsid w:val="008A6B16"/>
    <w:rsid w:val="008B16A5"/>
    <w:rsid w:val="009059AC"/>
    <w:rsid w:val="00992ED3"/>
    <w:rsid w:val="009E0B2D"/>
    <w:rsid w:val="00A13C82"/>
    <w:rsid w:val="00A20BAA"/>
    <w:rsid w:val="00A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78182"/>
  <w15:chartTrackingRefBased/>
  <w15:docId w15:val="{F4756BBA-9938-4A92-92C6-75E56CA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F"/>
  </w:style>
  <w:style w:type="paragraph" w:styleId="Footer">
    <w:name w:val="footer"/>
    <w:basedOn w:val="Normal"/>
    <w:link w:val="Foot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F"/>
  </w:style>
  <w:style w:type="character" w:styleId="Hyperlink">
    <w:name w:val="Hyperlink"/>
    <w:basedOn w:val="DefaultParagraphFont"/>
    <w:uiPriority w:val="99"/>
    <w:unhideWhenUsed/>
    <w:rsid w:val="0059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DB4"/>
    <w:rPr>
      <w:color w:val="808080"/>
    </w:rPr>
  </w:style>
  <w:style w:type="table" w:styleId="TableGrid">
    <w:name w:val="Table Grid"/>
    <w:basedOn w:val="TableNormal"/>
    <w:uiPriority w:val="39"/>
    <w:rsid w:val="007B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Evans</dc:creator>
  <cp:keywords/>
  <dc:description/>
  <cp:lastModifiedBy>Daniel Evans</cp:lastModifiedBy>
  <cp:revision>2</cp:revision>
  <cp:lastPrinted>2018-07-31T09:02:00Z</cp:lastPrinted>
  <dcterms:created xsi:type="dcterms:W3CDTF">2018-08-06T08:21:00Z</dcterms:created>
  <dcterms:modified xsi:type="dcterms:W3CDTF">2018-08-06T08:21:00Z</dcterms:modified>
</cp:coreProperties>
</file>